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Приложение 7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 Совета депутатов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Балахнинского муниципального округа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Нижего</w:t>
      </w:r>
      <w:bookmarkStart w:id="0" w:name="_GoBack"/>
      <w:bookmarkEnd w:id="0"/>
      <w:r>
        <w:rPr>
          <w:rFonts w:ascii="Times New Roman" w:hAnsi="Times New Roman" w:cs="Times New Roman"/>
          <w:b w:val="0"/>
          <w:bCs/>
          <w:sz w:val="28"/>
          <w:szCs w:val="28"/>
        </w:rPr>
        <w:t>родской области</w:t>
      </w:r>
    </w:p>
    <w:p w:rsidR="00EA0EA9" w:rsidRPr="008809CC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12.12.2024 </w:t>
      </w: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644</w:t>
      </w:r>
    </w:p>
    <w:p w:rsidR="00EA0EA9" w:rsidRPr="008809CC" w:rsidRDefault="00EA0EA9" w:rsidP="00EA0EA9">
      <w:pPr>
        <w:jc w:val="center"/>
        <w:rPr>
          <w:b/>
          <w:bCs/>
          <w:szCs w:val="28"/>
        </w:rPr>
      </w:pPr>
    </w:p>
    <w:p w:rsidR="00EA0EA9" w:rsidRPr="003B0A0C" w:rsidRDefault="00EA0EA9" w:rsidP="00EA0EA9">
      <w:pPr>
        <w:jc w:val="center"/>
        <w:rPr>
          <w:bCs/>
          <w:szCs w:val="28"/>
        </w:rPr>
      </w:pPr>
    </w:p>
    <w:p w:rsidR="00EA0EA9" w:rsidRPr="0079094F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EA0EA9" w:rsidRPr="0079094F" w:rsidRDefault="00EA0EA9" w:rsidP="00EA0EA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EA0EA9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6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3B0A0C">
        <w:rPr>
          <w:b/>
          <w:bCs/>
          <w:szCs w:val="28"/>
        </w:rPr>
        <w:t xml:space="preserve"> годов</w:t>
      </w:r>
    </w:p>
    <w:p w:rsidR="00EA0EA9" w:rsidRPr="003B0A0C" w:rsidRDefault="00EA0EA9" w:rsidP="00EA0EA9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141"/>
        <w:gridCol w:w="1649"/>
        <w:gridCol w:w="1649"/>
        <w:gridCol w:w="1618"/>
      </w:tblGrid>
      <w:tr w:rsidR="00EA0EA9" w:rsidRPr="003B0A0C" w:rsidTr="005B4BE0">
        <w:tc>
          <w:tcPr>
            <w:tcW w:w="636" w:type="dxa"/>
            <w:vAlign w:val="center"/>
          </w:tcPr>
          <w:p w:rsidR="00EA0EA9" w:rsidRPr="003B0A0C" w:rsidRDefault="00EA0EA9" w:rsidP="005B4BE0">
            <w:pPr>
              <w:jc w:val="center"/>
              <w:rPr>
                <w:b/>
                <w:sz w:val="22"/>
                <w:szCs w:val="22"/>
              </w:rPr>
            </w:pPr>
            <w:r w:rsidRPr="003B0A0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385" w:type="dxa"/>
            <w:vAlign w:val="center"/>
          </w:tcPr>
          <w:p w:rsidR="00EA0EA9" w:rsidRPr="00CC2F74" w:rsidRDefault="00EA0EA9" w:rsidP="005B4BE0">
            <w:pPr>
              <w:ind w:firstLine="0"/>
              <w:jc w:val="center"/>
              <w:rPr>
                <w:b/>
              </w:rPr>
            </w:pPr>
            <w:r w:rsidRPr="00CC2F74"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692" w:type="dxa"/>
            <w:vAlign w:val="center"/>
          </w:tcPr>
          <w:p w:rsidR="00EA0EA9" w:rsidRPr="009C2C15" w:rsidRDefault="00EA0EA9" w:rsidP="005B4BE0">
            <w:pPr>
              <w:ind w:firstLine="0"/>
              <w:jc w:val="center"/>
              <w:rPr>
                <w:b/>
              </w:rPr>
            </w:pPr>
            <w:r w:rsidRPr="009C2C15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9C2C15">
              <w:rPr>
                <w:b/>
              </w:rPr>
              <w:t xml:space="preserve"> год</w:t>
            </w:r>
          </w:p>
        </w:tc>
        <w:tc>
          <w:tcPr>
            <w:tcW w:w="1692" w:type="dxa"/>
            <w:vAlign w:val="center"/>
          </w:tcPr>
          <w:p w:rsidR="00EA0EA9" w:rsidRPr="009C2C15" w:rsidRDefault="00EA0EA9" w:rsidP="005B4BE0">
            <w:pPr>
              <w:ind w:firstLine="0"/>
              <w:jc w:val="center"/>
              <w:rPr>
                <w:b/>
              </w:rPr>
            </w:pPr>
            <w:r w:rsidRPr="009C2C15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9C2C15">
              <w:rPr>
                <w:b/>
              </w:rPr>
              <w:t xml:space="preserve"> год</w:t>
            </w:r>
          </w:p>
        </w:tc>
        <w:tc>
          <w:tcPr>
            <w:tcW w:w="1657" w:type="dxa"/>
            <w:vAlign w:val="center"/>
          </w:tcPr>
          <w:p w:rsidR="00EA0EA9" w:rsidRPr="009C2C15" w:rsidRDefault="00EA0EA9" w:rsidP="005B4BE0">
            <w:pPr>
              <w:ind w:firstLine="0"/>
              <w:jc w:val="center"/>
              <w:rPr>
                <w:b/>
              </w:rPr>
            </w:pPr>
            <w:r w:rsidRPr="009C2C15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9C2C15">
              <w:rPr>
                <w:b/>
              </w:rPr>
              <w:t xml:space="preserve"> год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jc w:val="center"/>
              <w:rPr>
                <w:b/>
              </w:rPr>
            </w:pP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  <w:rPr>
                <w:b/>
              </w:rPr>
            </w:pPr>
            <w:r>
              <w:rPr>
                <w:b/>
              </w:rPr>
              <w:t>Муниципальные</w:t>
            </w:r>
            <w:r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jc w:val="center"/>
              <w:rPr>
                <w:b/>
              </w:rPr>
            </w:pP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57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3B0A0C">
              <w:rPr>
                <w:b/>
              </w:rPr>
              <w:t>.</w:t>
            </w: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>
              <w:rPr>
                <w:b/>
              </w:rPr>
              <w:t>енные от кредитных организаций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20 000,0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2</w:t>
            </w:r>
            <w:r>
              <w:rPr>
                <w:b/>
              </w:rPr>
              <w:t>1</w:t>
            </w:r>
            <w:r w:rsidRPr="00C81B97">
              <w:rPr>
                <w:b/>
              </w:rPr>
              <w:t> 000,0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C81B97">
              <w:rPr>
                <w:b/>
              </w:rPr>
              <w:t>1 000,0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ind w:firstLine="0"/>
            </w:pPr>
            <w:r>
              <w:t>1</w:t>
            </w:r>
            <w:r w:rsidRPr="003B0A0C">
              <w:t>.1.</w:t>
            </w: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>
              <w:t>170 000,0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>
              <w:t>191 000,0</w:t>
            </w:r>
          </w:p>
        </w:tc>
        <w:tc>
          <w:tcPr>
            <w:tcW w:w="1657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>
              <w:t>232 000,0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jc w:val="center"/>
            </w:pP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2 года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2 года</w:t>
            </w:r>
          </w:p>
        </w:tc>
        <w:tc>
          <w:tcPr>
            <w:tcW w:w="1657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2 года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ind w:firstLine="0"/>
            </w:pPr>
            <w:r>
              <w:t>1</w:t>
            </w:r>
            <w:r w:rsidRPr="003B0A0C">
              <w:t>.2.</w:t>
            </w: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>
              <w:t>150 000,0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>
              <w:t>170 000,0</w:t>
            </w:r>
          </w:p>
        </w:tc>
        <w:tc>
          <w:tcPr>
            <w:tcW w:w="1657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>
              <w:t>191 000,0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3B0A0C">
              <w:rPr>
                <w:b/>
              </w:rPr>
              <w:t>.</w:t>
            </w: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-20 00</w:t>
            </w:r>
            <w:r w:rsidRPr="00C81B97">
              <w:rPr>
                <w:b/>
              </w:rPr>
              <w:t>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-2</w:t>
            </w:r>
            <w:r>
              <w:rPr>
                <w:b/>
              </w:rPr>
              <w:t>1</w:t>
            </w:r>
            <w:r w:rsidRPr="00C81B97">
              <w:rPr>
                <w:b/>
              </w:rPr>
              <w:t> 000,0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-</w:t>
            </w:r>
            <w:r>
              <w:rPr>
                <w:b/>
              </w:rPr>
              <w:t>4</w:t>
            </w:r>
            <w:r w:rsidRPr="00C81B97">
              <w:rPr>
                <w:b/>
              </w:rPr>
              <w:t>1 000,0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ind w:firstLine="0"/>
            </w:pPr>
            <w:r>
              <w:t>2</w:t>
            </w:r>
            <w:r w:rsidRPr="003B0A0C">
              <w:t>.1.</w:t>
            </w: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0,0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0,0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jc w:val="center"/>
            </w:pP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до 5 лет</w:t>
            </w:r>
          </w:p>
        </w:tc>
        <w:tc>
          <w:tcPr>
            <w:tcW w:w="1692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до 5 лет</w:t>
            </w:r>
          </w:p>
        </w:tc>
        <w:tc>
          <w:tcPr>
            <w:tcW w:w="1657" w:type="dxa"/>
            <w:shd w:val="clear" w:color="auto" w:fill="auto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до 5 лет</w:t>
            </w:r>
          </w:p>
        </w:tc>
      </w:tr>
      <w:tr w:rsidR="00EA0EA9" w:rsidRPr="00C81B97" w:rsidTr="005B4BE0">
        <w:tc>
          <w:tcPr>
            <w:tcW w:w="636" w:type="dxa"/>
          </w:tcPr>
          <w:p w:rsidR="00EA0EA9" w:rsidRPr="003B0A0C" w:rsidRDefault="00EA0EA9" w:rsidP="005B4BE0">
            <w:pPr>
              <w:ind w:firstLine="0"/>
            </w:pPr>
            <w:r>
              <w:t>2</w:t>
            </w:r>
            <w:r w:rsidRPr="003B0A0C">
              <w:t>.2.</w:t>
            </w:r>
          </w:p>
        </w:tc>
        <w:tc>
          <w:tcPr>
            <w:tcW w:w="4385" w:type="dxa"/>
          </w:tcPr>
          <w:p w:rsidR="00EA0EA9" w:rsidRPr="003B0A0C" w:rsidRDefault="00EA0EA9" w:rsidP="005B4BE0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</w:pPr>
            <w:r>
              <w:t>20 000,0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</w:pPr>
            <w:r w:rsidRPr="00C81B97">
              <w:t>2</w:t>
            </w:r>
            <w:r>
              <w:t>1</w:t>
            </w:r>
            <w:r w:rsidRPr="00C81B97">
              <w:t xml:space="preserve"> 000,0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EA0EA9" w:rsidRPr="00C81B97" w:rsidRDefault="00EA0EA9" w:rsidP="005B4BE0">
            <w:pPr>
              <w:ind w:firstLine="0"/>
              <w:jc w:val="center"/>
            </w:pPr>
            <w:r>
              <w:t>4</w:t>
            </w:r>
            <w:r w:rsidRPr="00C81B97">
              <w:t>1 000,0</w:t>
            </w:r>
          </w:p>
        </w:tc>
      </w:tr>
    </w:tbl>
    <w:p w:rsidR="00EA0EA9" w:rsidRPr="00C0135E" w:rsidRDefault="00EA0EA9" w:rsidP="00EA0EA9">
      <w:pPr>
        <w:jc w:val="center"/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7C5E17" w:rsidRDefault="007C5E17"/>
    <w:sectPr w:rsidR="007C5E17" w:rsidSect="00EA0EA9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19"/>
    <w:rsid w:val="005E3E19"/>
    <w:rsid w:val="007C5E17"/>
    <w:rsid w:val="00EA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3EB05-DA83-438C-B2C8-C1AD50C7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EA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0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</cp:revision>
  <dcterms:created xsi:type="dcterms:W3CDTF">2025-02-27T11:15:00Z</dcterms:created>
  <dcterms:modified xsi:type="dcterms:W3CDTF">2025-02-27T11:16:00Z</dcterms:modified>
</cp:coreProperties>
</file>